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9FA5F">
      <w:pPr>
        <w:spacing w:after="0" w:line="560" w:lineRule="exact"/>
        <w:jc w:val="center"/>
        <w:rPr>
          <w:rFonts w:ascii="方正小标宋简体" w:hAnsi="方正小标宋简体" w:eastAsia="方正小标宋简体"/>
          <w:sz w:val="44"/>
          <w:lang w:eastAsia="zh-CN"/>
        </w:rPr>
      </w:pPr>
      <w:r>
        <w:rPr>
          <w:rFonts w:ascii="方正小标宋简体" w:hAnsi="方正小标宋简体" w:eastAsia="方正小标宋简体"/>
          <w:sz w:val="44"/>
          <w:lang w:eastAsia="zh-CN"/>
        </w:rPr>
        <w:t>十四届全国人大四次会议举行第二次</w:t>
      </w:r>
    </w:p>
    <w:p w14:paraId="088D3DD5">
      <w:pPr>
        <w:spacing w:after="0" w:line="560" w:lineRule="exact"/>
        <w:jc w:val="center"/>
        <w:rPr>
          <w:lang w:eastAsia="zh-CN"/>
        </w:rPr>
      </w:pPr>
      <w:r>
        <w:rPr>
          <w:rFonts w:ascii="方正小标宋简体" w:hAnsi="方正小标宋简体" w:eastAsia="方正小标宋简体"/>
          <w:sz w:val="44"/>
          <w:lang w:eastAsia="zh-CN"/>
        </w:rPr>
        <w:t>全体</w:t>
      </w:r>
      <w:bookmarkStart w:id="0" w:name="_GoBack"/>
      <w:bookmarkEnd w:id="0"/>
      <w:r>
        <w:rPr>
          <w:rFonts w:ascii="方正小标宋简体" w:hAnsi="方正小标宋简体" w:eastAsia="方正小标宋简体"/>
          <w:sz w:val="44"/>
          <w:lang w:eastAsia="zh-CN"/>
        </w:rPr>
        <w:t>会议 习近平等出席</w:t>
      </w:r>
    </w:p>
    <w:p w14:paraId="2D89D2A5">
      <w:pPr>
        <w:spacing w:after="0" w:line="560" w:lineRule="exact"/>
        <w:jc w:val="center"/>
        <w:rPr>
          <w:rFonts w:ascii="Times New Roman" w:hAnsi="Times New Roman" w:eastAsia="仿宋_GB2312"/>
          <w:sz w:val="32"/>
          <w:lang w:eastAsia="zh-CN"/>
        </w:rPr>
      </w:pPr>
      <w:r>
        <w:rPr>
          <w:rFonts w:ascii="仿宋_GB2312" w:hAnsi="仿宋_GB2312" w:eastAsia="仿宋_GB2312"/>
          <w:sz w:val="32"/>
          <w:lang w:eastAsia="zh-CN"/>
        </w:rPr>
        <w:t xml:space="preserve">“学习强国”学习平台 </w:t>
      </w:r>
      <w:r>
        <w:rPr>
          <w:rFonts w:ascii="Times New Roman" w:hAnsi="Times New Roman" w:eastAsia="仿宋_GB2312"/>
          <w:sz w:val="32"/>
          <w:lang w:eastAsia="zh-CN"/>
        </w:rPr>
        <w:t>2026</w:t>
      </w:r>
      <w:r>
        <w:rPr>
          <w:rFonts w:ascii="仿宋_GB2312" w:hAnsi="仿宋_GB2312" w:eastAsia="仿宋_GB2312"/>
          <w:sz w:val="32"/>
          <w:lang w:eastAsia="zh-CN"/>
        </w:rPr>
        <w:t>-</w:t>
      </w:r>
      <w:r>
        <w:rPr>
          <w:rFonts w:ascii="Times New Roman" w:hAnsi="Times New Roman" w:eastAsia="仿宋_GB2312"/>
          <w:sz w:val="32"/>
          <w:lang w:eastAsia="zh-CN"/>
        </w:rPr>
        <w:t>03</w:t>
      </w:r>
      <w:r>
        <w:rPr>
          <w:rFonts w:ascii="仿宋_GB2312" w:hAnsi="仿宋_GB2312" w:eastAsia="仿宋_GB2312"/>
          <w:sz w:val="32"/>
          <w:lang w:eastAsia="zh-CN"/>
        </w:rPr>
        <w:t>-</w:t>
      </w:r>
      <w:r>
        <w:rPr>
          <w:rFonts w:ascii="Times New Roman" w:hAnsi="Times New Roman" w:eastAsia="仿宋_GB2312"/>
          <w:sz w:val="32"/>
          <w:lang w:eastAsia="zh-CN"/>
        </w:rPr>
        <w:t>09</w:t>
      </w:r>
    </w:p>
    <w:p w14:paraId="4A9C80D0">
      <w:pPr>
        <w:spacing w:after="0" w:line="560" w:lineRule="exact"/>
        <w:jc w:val="center"/>
        <w:rPr>
          <w:lang w:eastAsia="zh-CN"/>
        </w:rPr>
      </w:pPr>
    </w:p>
    <w:p w14:paraId="1B62DB9C">
      <w:pPr>
        <w:spacing w:after="0" w:line="560" w:lineRule="exact"/>
        <w:ind w:firstLine="640"/>
        <w:jc w:val="both"/>
        <w:rPr>
          <w:lang w:eastAsia="zh-CN"/>
        </w:rPr>
      </w:pPr>
      <w:r>
        <w:rPr>
          <w:rFonts w:ascii="仿宋_GB2312" w:hAnsi="仿宋_GB2312" w:eastAsia="仿宋_GB2312"/>
          <w:sz w:val="32"/>
          <w:lang w:eastAsia="zh-CN"/>
        </w:rPr>
        <w:t>新华社北京</w:t>
      </w:r>
      <w:r>
        <w:rPr>
          <w:rFonts w:ascii="Times New Roman" w:hAnsi="Times New Roman" w:eastAsia="仿宋_GB2312"/>
          <w:sz w:val="32"/>
          <w:lang w:eastAsia="zh-CN"/>
        </w:rPr>
        <w:t>3</w:t>
      </w:r>
      <w:r>
        <w:rPr>
          <w:rFonts w:ascii="仿宋_GB2312" w:hAnsi="仿宋_GB2312" w:eastAsia="仿宋_GB2312"/>
          <w:sz w:val="32"/>
          <w:lang w:eastAsia="zh-CN"/>
        </w:rPr>
        <w:t>月</w:t>
      </w:r>
      <w:r>
        <w:rPr>
          <w:rFonts w:ascii="Times New Roman" w:hAnsi="Times New Roman" w:eastAsia="仿宋_GB2312"/>
          <w:sz w:val="32"/>
          <w:lang w:eastAsia="zh-CN"/>
        </w:rPr>
        <w:t>9</w:t>
      </w:r>
      <w:r>
        <w:rPr>
          <w:rFonts w:ascii="仿宋_GB2312" w:hAnsi="仿宋_GB2312" w:eastAsia="仿宋_GB2312"/>
          <w:sz w:val="32"/>
          <w:lang w:eastAsia="zh-CN"/>
        </w:rPr>
        <w:t>日电 十四届全国人大四次会议</w:t>
      </w:r>
      <w:r>
        <w:rPr>
          <w:rFonts w:ascii="Times New Roman" w:hAnsi="Times New Roman" w:eastAsia="仿宋_GB2312"/>
          <w:sz w:val="32"/>
          <w:lang w:eastAsia="zh-CN"/>
        </w:rPr>
        <w:t>9</w:t>
      </w:r>
      <w:r>
        <w:rPr>
          <w:rFonts w:ascii="仿宋_GB2312" w:hAnsi="仿宋_GB2312" w:eastAsia="仿宋_GB2312"/>
          <w:sz w:val="32"/>
          <w:lang w:eastAsia="zh-CN"/>
        </w:rPr>
        <w:t>日上午在北京人民大会堂举行第二次全体会议，听取和审议全国人大常委会工作报告和最高人民法院工作报告、最高人民检察院工作报告，审议全国人民代表大会常务委员会关于法律清理工作情况和有关法律和决定处理意见的报告。</w:t>
      </w:r>
    </w:p>
    <w:p w14:paraId="3A8FB714">
      <w:pPr>
        <w:spacing w:after="0" w:line="560" w:lineRule="exact"/>
        <w:ind w:firstLine="640"/>
        <w:jc w:val="both"/>
        <w:rPr>
          <w:lang w:eastAsia="zh-CN"/>
        </w:rPr>
      </w:pPr>
      <w:r>
        <w:rPr>
          <w:rFonts w:ascii="仿宋_GB2312" w:hAnsi="仿宋_GB2312" w:eastAsia="仿宋_GB2312"/>
          <w:sz w:val="32"/>
          <w:lang w:eastAsia="zh-CN"/>
        </w:rPr>
        <w:t>习近平、李强、王沪宁、蔡奇、丁薛祥、李希、韩正等出席会议。</w:t>
      </w:r>
    </w:p>
    <w:p w14:paraId="366F5814">
      <w:pPr>
        <w:spacing w:after="0" w:line="560" w:lineRule="exact"/>
        <w:ind w:firstLine="640"/>
        <w:jc w:val="both"/>
        <w:rPr>
          <w:lang w:eastAsia="zh-CN"/>
        </w:rPr>
      </w:pPr>
      <w:r>
        <w:rPr>
          <w:rFonts w:ascii="仿宋_GB2312" w:hAnsi="仿宋_GB2312" w:eastAsia="仿宋_GB2312"/>
          <w:sz w:val="32"/>
          <w:lang w:eastAsia="zh-CN"/>
        </w:rPr>
        <w:t>受全国人大常委会委托，赵乐际委员长向大会报告全国人大常委会工作。赵乐际在报告中指出，</w:t>
      </w:r>
      <w:r>
        <w:rPr>
          <w:rFonts w:ascii="Times New Roman" w:hAnsi="Times New Roman" w:eastAsia="仿宋_GB2312"/>
          <w:sz w:val="32"/>
          <w:lang w:eastAsia="zh-CN"/>
        </w:rPr>
        <w:t>2025</w:t>
      </w:r>
      <w:r>
        <w:rPr>
          <w:rFonts w:ascii="仿宋_GB2312" w:hAnsi="仿宋_GB2312" w:eastAsia="仿宋_GB2312"/>
          <w:sz w:val="32"/>
          <w:lang w:eastAsia="zh-CN"/>
        </w:rPr>
        <w:t>年是很不平凡的一年。一年来，在以习近平同志为核心的党中央坚强领导下，全国人大常委会坚持以习近平新时代中国特色社会主义思想为指导，全面贯彻落实党的二十大和二十届历次全会精神，学习贯彻习近平法治思想、习近平总书记关于坚持和完善人民代表大会制度的重要思想，聚焦建设更加完善的中国特色社会主义法治体系、建设更高水平的社会主义法治国家，紧紧围绕中国式现代化建设依法履职、担当尽责，各方面工作取得新的进展和成效。一是加强宪法实施和监督，维护国家法治统一。常委会两次审议民族团结进步促进法草案并提请本次大会审议，为铸牢中华民族共同体意识夯实法治根基。设立台湾光复纪念日，强化两岸同胞共同民族历史记忆。提高合宪性审查、备案审查工作质量，弘扬宪法精神、社会主义法治精神。二是加强立法工作，以高质量立法服务和保障改革发展。统筹立改废释纂，一年来共审议法律、法律解释、决定草案</w:t>
      </w:r>
      <w:r>
        <w:rPr>
          <w:rFonts w:ascii="Times New Roman" w:hAnsi="Times New Roman" w:eastAsia="仿宋_GB2312"/>
          <w:sz w:val="32"/>
          <w:lang w:eastAsia="zh-CN"/>
        </w:rPr>
        <w:t>40</w:t>
      </w:r>
      <w:r>
        <w:rPr>
          <w:rFonts w:ascii="仿宋_GB2312" w:hAnsi="仿宋_GB2312" w:eastAsia="仿宋_GB2312"/>
          <w:sz w:val="32"/>
          <w:lang w:eastAsia="zh-CN"/>
        </w:rPr>
        <w:t>件，通过其中</w:t>
      </w:r>
      <w:r>
        <w:rPr>
          <w:rFonts w:ascii="Times New Roman" w:hAnsi="Times New Roman" w:eastAsia="仿宋_GB2312"/>
          <w:sz w:val="32"/>
          <w:lang w:eastAsia="zh-CN"/>
        </w:rPr>
        <w:t>24</w:t>
      </w:r>
      <w:r>
        <w:rPr>
          <w:rFonts w:ascii="仿宋_GB2312" w:hAnsi="仿宋_GB2312" w:eastAsia="仿宋_GB2312"/>
          <w:sz w:val="32"/>
          <w:lang w:eastAsia="zh-CN"/>
        </w:rPr>
        <w:t>件，包括制定法律</w:t>
      </w:r>
      <w:r>
        <w:rPr>
          <w:rFonts w:ascii="Times New Roman" w:hAnsi="Times New Roman" w:eastAsia="仿宋_GB2312"/>
          <w:sz w:val="32"/>
          <w:lang w:eastAsia="zh-CN"/>
        </w:rPr>
        <w:t>6</w:t>
      </w:r>
      <w:r>
        <w:rPr>
          <w:rFonts w:ascii="仿宋_GB2312" w:hAnsi="仿宋_GB2312" w:eastAsia="仿宋_GB2312"/>
          <w:sz w:val="32"/>
          <w:lang w:eastAsia="zh-CN"/>
        </w:rPr>
        <w:t>件，修改法律</w:t>
      </w:r>
      <w:r>
        <w:rPr>
          <w:rFonts w:ascii="Times New Roman" w:hAnsi="Times New Roman" w:eastAsia="仿宋_GB2312"/>
          <w:sz w:val="32"/>
          <w:lang w:eastAsia="zh-CN"/>
        </w:rPr>
        <w:t>14</w:t>
      </w:r>
      <w:r>
        <w:rPr>
          <w:rFonts w:ascii="仿宋_GB2312" w:hAnsi="仿宋_GB2312" w:eastAsia="仿宋_GB2312"/>
          <w:sz w:val="32"/>
          <w:lang w:eastAsia="zh-CN"/>
        </w:rPr>
        <w:t>件等。三是履行监督职责，充分发挥人大监督在党和国家监督体系中的重要作用。共听取审议</w:t>
      </w:r>
      <w:r>
        <w:rPr>
          <w:rFonts w:ascii="Times New Roman" w:hAnsi="Times New Roman" w:eastAsia="仿宋_GB2312"/>
          <w:sz w:val="32"/>
          <w:lang w:eastAsia="zh-CN"/>
        </w:rPr>
        <w:t>22</w:t>
      </w:r>
      <w:r>
        <w:rPr>
          <w:rFonts w:ascii="仿宋_GB2312" w:hAnsi="仿宋_GB2312" w:eastAsia="仿宋_GB2312"/>
          <w:sz w:val="32"/>
          <w:lang w:eastAsia="zh-CN"/>
        </w:rPr>
        <w:t>个监督工作的报告，检查</w:t>
      </w:r>
      <w:r>
        <w:rPr>
          <w:rFonts w:ascii="Times New Roman" w:hAnsi="Times New Roman" w:eastAsia="仿宋_GB2312"/>
          <w:sz w:val="32"/>
          <w:lang w:eastAsia="zh-CN"/>
        </w:rPr>
        <w:t>5</w:t>
      </w:r>
      <w:r>
        <w:rPr>
          <w:rFonts w:ascii="仿宋_GB2312" w:hAnsi="仿宋_GB2312" w:eastAsia="仿宋_GB2312"/>
          <w:sz w:val="32"/>
          <w:lang w:eastAsia="zh-CN"/>
        </w:rPr>
        <w:t>件法律实施情况，组织开展</w:t>
      </w:r>
      <w:r>
        <w:rPr>
          <w:rFonts w:ascii="Times New Roman" w:hAnsi="Times New Roman" w:eastAsia="仿宋_GB2312"/>
          <w:sz w:val="32"/>
          <w:lang w:eastAsia="zh-CN"/>
        </w:rPr>
        <w:t>2</w:t>
      </w:r>
      <w:r>
        <w:rPr>
          <w:rFonts w:ascii="仿宋_GB2312" w:hAnsi="仿宋_GB2312" w:eastAsia="仿宋_GB2312"/>
          <w:sz w:val="32"/>
          <w:lang w:eastAsia="zh-CN"/>
        </w:rPr>
        <w:t>次专题询问、</w:t>
      </w:r>
      <w:r>
        <w:rPr>
          <w:rFonts w:ascii="Times New Roman" w:hAnsi="Times New Roman" w:eastAsia="仿宋_GB2312"/>
          <w:sz w:val="32"/>
          <w:lang w:eastAsia="zh-CN"/>
        </w:rPr>
        <w:t>11</w:t>
      </w:r>
      <w:r>
        <w:rPr>
          <w:rFonts w:ascii="仿宋_GB2312" w:hAnsi="仿宋_GB2312" w:eastAsia="仿宋_GB2312"/>
          <w:sz w:val="32"/>
          <w:lang w:eastAsia="zh-CN"/>
        </w:rPr>
        <w:t>项专题调研，作出</w:t>
      </w:r>
      <w:r>
        <w:rPr>
          <w:rFonts w:ascii="Times New Roman" w:hAnsi="Times New Roman" w:eastAsia="仿宋_GB2312"/>
          <w:sz w:val="32"/>
          <w:lang w:eastAsia="zh-CN"/>
        </w:rPr>
        <w:t>1</w:t>
      </w:r>
      <w:r>
        <w:rPr>
          <w:rFonts w:ascii="仿宋_GB2312" w:hAnsi="仿宋_GB2312" w:eastAsia="仿宋_GB2312"/>
          <w:sz w:val="32"/>
          <w:lang w:eastAsia="zh-CN"/>
        </w:rPr>
        <w:t>项决议。四是深化和拓展代表工作，更好发挥人大代表作用。全面贯彻实施新修改的代表法，持续加强代表工作能力建设，紧紧依靠代表做好各项工作，支持和保障代表依法履职。五是发挥人大对外交往特点优势，主动服务国家外交大局。六是全面加强自身建设，不断提高依法履职能力和水平。</w:t>
      </w:r>
    </w:p>
    <w:p w14:paraId="6892BAA0">
      <w:pPr>
        <w:spacing w:after="0" w:line="560" w:lineRule="exact"/>
        <w:ind w:firstLine="640"/>
        <w:jc w:val="both"/>
        <w:rPr>
          <w:lang w:eastAsia="zh-CN"/>
        </w:rPr>
      </w:pPr>
      <w:r>
        <w:rPr>
          <w:rFonts w:ascii="仿宋_GB2312" w:hAnsi="仿宋_GB2312" w:eastAsia="仿宋_GB2312"/>
          <w:sz w:val="32"/>
          <w:lang w:eastAsia="zh-CN"/>
        </w:rPr>
        <w:t>在报告中，赵乐际指出，我们清醒地认识到，工作中还存在一些差距和不足，将虚心听取代表和各方面意见建议，自觉接受人民监督，不断加强和改进工作。</w:t>
      </w:r>
    </w:p>
    <w:p w14:paraId="600E7147">
      <w:pPr>
        <w:spacing w:after="0" w:line="560" w:lineRule="exact"/>
        <w:ind w:firstLine="640"/>
        <w:jc w:val="both"/>
        <w:rPr>
          <w:lang w:eastAsia="zh-CN"/>
        </w:rPr>
      </w:pPr>
      <w:r>
        <w:rPr>
          <w:rFonts w:ascii="仿宋_GB2312" w:hAnsi="仿宋_GB2312" w:eastAsia="仿宋_GB2312"/>
          <w:sz w:val="32"/>
          <w:lang w:eastAsia="zh-CN"/>
        </w:rPr>
        <w:t>在报告中，赵乐际指出，</w:t>
      </w:r>
      <w:r>
        <w:rPr>
          <w:rFonts w:ascii="Times New Roman" w:hAnsi="Times New Roman" w:eastAsia="仿宋_GB2312"/>
          <w:sz w:val="32"/>
          <w:lang w:eastAsia="zh-CN"/>
        </w:rPr>
        <w:t>2026</w:t>
      </w:r>
      <w:r>
        <w:rPr>
          <w:rFonts w:ascii="仿宋_GB2312" w:hAnsi="仿宋_GB2312" w:eastAsia="仿宋_GB2312"/>
          <w:sz w:val="32"/>
          <w:lang w:eastAsia="zh-CN"/>
        </w:rPr>
        <w:t>年是“十五五”开局之年。全国人大常委会要在以习近平同志为核心的党中央坚强领导下，深刻领悟“两个确立”的决定性意义，增强“四个意识”、坚定“四个自信”、做到“两个维护”，坚持党的领导、人民当家作主、依法治国有机统一，发展全过程人民民主，坚持好、完善好、运行好人民代表大会制度，稳中求进推动人大工作高质量发展，为实现“十五五”良好开局作出应有贡献。</w:t>
      </w:r>
    </w:p>
    <w:p w14:paraId="251C92E0">
      <w:pPr>
        <w:spacing w:after="0" w:line="560" w:lineRule="exact"/>
        <w:ind w:firstLine="640"/>
        <w:jc w:val="both"/>
        <w:rPr>
          <w:lang w:eastAsia="zh-CN"/>
        </w:rPr>
      </w:pPr>
      <w:r>
        <w:rPr>
          <w:rFonts w:ascii="仿宋_GB2312" w:hAnsi="仿宋_GB2312" w:eastAsia="仿宋_GB2312"/>
          <w:sz w:val="32"/>
          <w:lang w:eastAsia="zh-CN"/>
        </w:rPr>
        <w:t>赵乐际在报告中对今后一年的任务进行部署：推动宪法全面贯彻实施，完善宪法相关法律制度，全面发挥宪法在立法中的核心地位功能；不断完善中国特色社会主义法律体系，聚焦保障“十五五”规划贯彻实施，加强重点领域、新兴领域、涉外领域立法，着力提高立法质量；进一步增强监督工作针对性实效性，推动解决制约经济社会发展的突出矛盾和问题，推进各方面工作法治化；服务保障代表依法履职，支持代表密切联系人民群众，更好将民意民智反映到议案建议和审议发言中；积极开展人大对外交往，立足人大职能职责，加强与外国议会、国际和地区议会组织的交流合作；扎实推进“四个机关”建设，提高新时代人大工作水平。</w:t>
      </w:r>
    </w:p>
    <w:p w14:paraId="543B6C4C">
      <w:pPr>
        <w:spacing w:after="0" w:line="560" w:lineRule="exact"/>
        <w:ind w:firstLine="640"/>
        <w:jc w:val="both"/>
        <w:rPr>
          <w:lang w:eastAsia="zh-CN"/>
        </w:rPr>
      </w:pPr>
      <w:r>
        <w:rPr>
          <w:rFonts w:ascii="仿宋_GB2312" w:hAnsi="仿宋_GB2312" w:eastAsia="仿宋_GB2312"/>
          <w:sz w:val="32"/>
          <w:lang w:eastAsia="zh-CN"/>
        </w:rPr>
        <w:t>最高人民法院院长张军在最高人民法院工作报告中指出，</w:t>
      </w:r>
      <w:r>
        <w:rPr>
          <w:rFonts w:ascii="Times New Roman" w:hAnsi="Times New Roman" w:eastAsia="仿宋_GB2312"/>
          <w:sz w:val="32"/>
          <w:lang w:eastAsia="zh-CN"/>
        </w:rPr>
        <w:t>2025</w:t>
      </w:r>
      <w:r>
        <w:rPr>
          <w:rFonts w:ascii="仿宋_GB2312" w:hAnsi="仿宋_GB2312" w:eastAsia="仿宋_GB2312"/>
          <w:sz w:val="32"/>
          <w:lang w:eastAsia="zh-CN"/>
        </w:rPr>
        <w:t>年，在以习近平同志为核心的党中央坚强领导下，最高人民法院忠实履行宪法法律赋予的职责，着力以高质量司法服务中国式现代化建设，各项工作取得新进展。最高人民法院收案</w:t>
      </w:r>
      <w:r>
        <w:rPr>
          <w:rFonts w:ascii="Times New Roman" w:hAnsi="Times New Roman" w:eastAsia="仿宋_GB2312"/>
          <w:sz w:val="32"/>
          <w:lang w:eastAsia="zh-CN"/>
        </w:rPr>
        <w:t>29154</w:t>
      </w:r>
      <w:r>
        <w:rPr>
          <w:rFonts w:ascii="仿宋_GB2312" w:hAnsi="仿宋_GB2312" w:eastAsia="仿宋_GB2312"/>
          <w:sz w:val="32"/>
          <w:lang w:eastAsia="zh-CN"/>
        </w:rPr>
        <w:t>件，结案</w:t>
      </w:r>
      <w:r>
        <w:rPr>
          <w:rFonts w:ascii="Times New Roman" w:hAnsi="Times New Roman" w:eastAsia="仿宋_GB2312"/>
          <w:sz w:val="32"/>
          <w:lang w:eastAsia="zh-CN"/>
        </w:rPr>
        <w:t>31958</w:t>
      </w:r>
      <w:r>
        <w:rPr>
          <w:rFonts w:ascii="仿宋_GB2312" w:hAnsi="仿宋_GB2312" w:eastAsia="仿宋_GB2312"/>
          <w:sz w:val="32"/>
          <w:lang w:eastAsia="zh-CN"/>
        </w:rPr>
        <w:t>件，同比分别下降</w:t>
      </w:r>
      <w:r>
        <w:rPr>
          <w:rFonts w:ascii="Times New Roman" w:hAnsi="Times New Roman" w:eastAsia="仿宋_GB2312"/>
          <w:sz w:val="32"/>
          <w:lang w:eastAsia="zh-CN"/>
        </w:rPr>
        <w:t>16</w:t>
      </w:r>
      <w:r>
        <w:rPr>
          <w:rFonts w:ascii="仿宋_GB2312" w:hAnsi="仿宋_GB2312" w:eastAsia="仿宋_GB2312"/>
          <w:sz w:val="32"/>
          <w:lang w:eastAsia="zh-CN"/>
        </w:rPr>
        <w:t>.</w:t>
      </w:r>
      <w:r>
        <w:rPr>
          <w:rFonts w:ascii="Times New Roman" w:hAnsi="Times New Roman" w:eastAsia="仿宋_GB2312"/>
          <w:sz w:val="32"/>
          <w:lang w:eastAsia="zh-CN"/>
        </w:rPr>
        <w:t>5</w:t>
      </w:r>
      <w:r>
        <w:rPr>
          <w:rFonts w:ascii="仿宋_GB2312" w:hAnsi="仿宋_GB2312" w:eastAsia="仿宋_GB2312"/>
          <w:sz w:val="32"/>
          <w:lang w:eastAsia="zh-CN"/>
        </w:rPr>
        <w:t>%、</w:t>
      </w:r>
      <w:r>
        <w:rPr>
          <w:rFonts w:ascii="Times New Roman" w:hAnsi="Times New Roman" w:eastAsia="仿宋_GB2312"/>
          <w:sz w:val="32"/>
          <w:lang w:eastAsia="zh-CN"/>
        </w:rPr>
        <w:t>1</w:t>
      </w:r>
      <w:r>
        <w:rPr>
          <w:rFonts w:ascii="仿宋_GB2312" w:hAnsi="仿宋_GB2312" w:eastAsia="仿宋_GB2312"/>
          <w:sz w:val="32"/>
          <w:lang w:eastAsia="zh-CN"/>
        </w:rPr>
        <w:t>.</w:t>
      </w:r>
      <w:r>
        <w:rPr>
          <w:rFonts w:ascii="Times New Roman" w:hAnsi="Times New Roman" w:eastAsia="仿宋_GB2312"/>
          <w:sz w:val="32"/>
          <w:lang w:eastAsia="zh-CN"/>
        </w:rPr>
        <w:t>8</w:t>
      </w:r>
      <w:r>
        <w:rPr>
          <w:rFonts w:ascii="仿宋_GB2312" w:hAnsi="仿宋_GB2312" w:eastAsia="仿宋_GB2312"/>
          <w:sz w:val="32"/>
          <w:lang w:eastAsia="zh-CN"/>
        </w:rPr>
        <w:t>%。全国各级法院受理审判执行案件</w:t>
      </w:r>
      <w:r>
        <w:rPr>
          <w:rFonts w:ascii="Times New Roman" w:hAnsi="Times New Roman" w:eastAsia="仿宋_GB2312"/>
          <w:sz w:val="32"/>
          <w:lang w:eastAsia="zh-CN"/>
        </w:rPr>
        <w:t>3748</w:t>
      </w:r>
      <w:r>
        <w:rPr>
          <w:rFonts w:ascii="仿宋_GB2312" w:hAnsi="仿宋_GB2312" w:eastAsia="仿宋_GB2312"/>
          <w:sz w:val="32"/>
          <w:lang w:eastAsia="zh-CN"/>
        </w:rPr>
        <w:t>.</w:t>
      </w:r>
      <w:r>
        <w:rPr>
          <w:rFonts w:ascii="Times New Roman" w:hAnsi="Times New Roman" w:eastAsia="仿宋_GB2312"/>
          <w:sz w:val="32"/>
          <w:lang w:eastAsia="zh-CN"/>
        </w:rPr>
        <w:t>6</w:t>
      </w:r>
      <w:r>
        <w:rPr>
          <w:rFonts w:ascii="仿宋_GB2312" w:hAnsi="仿宋_GB2312" w:eastAsia="仿宋_GB2312"/>
          <w:sz w:val="32"/>
          <w:lang w:eastAsia="zh-CN"/>
        </w:rPr>
        <w:t>万件，审结执结</w:t>
      </w:r>
      <w:r>
        <w:rPr>
          <w:rFonts w:ascii="Times New Roman" w:hAnsi="Times New Roman" w:eastAsia="仿宋_GB2312"/>
          <w:sz w:val="32"/>
          <w:lang w:eastAsia="zh-CN"/>
        </w:rPr>
        <w:t>3620</w:t>
      </w:r>
      <w:r>
        <w:rPr>
          <w:rFonts w:ascii="仿宋_GB2312" w:hAnsi="仿宋_GB2312" w:eastAsia="仿宋_GB2312"/>
          <w:sz w:val="32"/>
          <w:lang w:eastAsia="zh-CN"/>
        </w:rPr>
        <w:t>万件，同比分别增长</w:t>
      </w:r>
      <w:r>
        <w:rPr>
          <w:rFonts w:ascii="Times New Roman" w:hAnsi="Times New Roman" w:eastAsia="仿宋_GB2312"/>
          <w:sz w:val="32"/>
          <w:lang w:eastAsia="zh-CN"/>
        </w:rPr>
        <w:t>10</w:t>
      </w:r>
      <w:r>
        <w:rPr>
          <w:rFonts w:ascii="仿宋_GB2312" w:hAnsi="仿宋_GB2312" w:eastAsia="仿宋_GB2312"/>
          <w:sz w:val="32"/>
          <w:lang w:eastAsia="zh-CN"/>
        </w:rPr>
        <w:t>.</w:t>
      </w:r>
      <w:r>
        <w:rPr>
          <w:rFonts w:ascii="Times New Roman" w:hAnsi="Times New Roman" w:eastAsia="仿宋_GB2312"/>
          <w:sz w:val="32"/>
          <w:lang w:eastAsia="zh-CN"/>
        </w:rPr>
        <w:t>8</w:t>
      </w:r>
      <w:r>
        <w:rPr>
          <w:rFonts w:ascii="仿宋_GB2312" w:hAnsi="仿宋_GB2312" w:eastAsia="仿宋_GB2312"/>
          <w:sz w:val="32"/>
          <w:lang w:eastAsia="zh-CN"/>
        </w:rPr>
        <w:t>%、</w:t>
      </w:r>
      <w:r>
        <w:rPr>
          <w:rFonts w:ascii="Times New Roman" w:hAnsi="Times New Roman" w:eastAsia="仿宋_GB2312"/>
          <w:sz w:val="32"/>
          <w:lang w:eastAsia="zh-CN"/>
        </w:rPr>
        <w:t>8</w:t>
      </w:r>
      <w:r>
        <w:rPr>
          <w:rFonts w:ascii="仿宋_GB2312" w:hAnsi="仿宋_GB2312" w:eastAsia="仿宋_GB2312"/>
          <w:sz w:val="32"/>
          <w:lang w:eastAsia="zh-CN"/>
        </w:rPr>
        <w:t>.</w:t>
      </w:r>
      <w:r>
        <w:rPr>
          <w:rFonts w:ascii="Times New Roman" w:hAnsi="Times New Roman" w:eastAsia="仿宋_GB2312"/>
          <w:sz w:val="32"/>
          <w:lang w:eastAsia="zh-CN"/>
        </w:rPr>
        <w:t>9</w:t>
      </w:r>
      <w:r>
        <w:rPr>
          <w:rFonts w:ascii="仿宋_GB2312" w:hAnsi="仿宋_GB2312" w:eastAsia="仿宋_GB2312"/>
          <w:sz w:val="32"/>
          <w:lang w:eastAsia="zh-CN"/>
        </w:rPr>
        <w:t>%。</w:t>
      </w:r>
    </w:p>
    <w:p w14:paraId="06B6800C">
      <w:pPr>
        <w:spacing w:after="0" w:line="560" w:lineRule="exact"/>
        <w:ind w:firstLine="640"/>
        <w:jc w:val="both"/>
        <w:rPr>
          <w:lang w:eastAsia="zh-CN"/>
        </w:rPr>
      </w:pPr>
      <w:r>
        <w:rPr>
          <w:rFonts w:ascii="仿宋_GB2312" w:hAnsi="仿宋_GB2312" w:eastAsia="仿宋_GB2312"/>
          <w:sz w:val="32"/>
          <w:lang w:eastAsia="zh-CN"/>
        </w:rPr>
        <w:t>聚焦恪守公平正义，张军回顾了</w:t>
      </w:r>
      <w:r>
        <w:rPr>
          <w:rFonts w:ascii="Times New Roman" w:hAnsi="Times New Roman" w:eastAsia="仿宋_GB2312"/>
          <w:sz w:val="32"/>
          <w:lang w:eastAsia="zh-CN"/>
        </w:rPr>
        <w:t>2025</w:t>
      </w:r>
      <w:r>
        <w:rPr>
          <w:rFonts w:ascii="仿宋_GB2312" w:hAnsi="仿宋_GB2312" w:eastAsia="仿宋_GB2312"/>
          <w:sz w:val="32"/>
          <w:lang w:eastAsia="zh-CN"/>
        </w:rPr>
        <w:t>年工作：以高质量司法保障高水平安全；以高质量司法服务高质量发展；以高质量司法守护高品质生活；以高质量司法助力高水平开放；规范司法权力运行；自觉接受各方面监督。</w:t>
      </w:r>
    </w:p>
    <w:p w14:paraId="225AF712">
      <w:pPr>
        <w:spacing w:after="0" w:line="560" w:lineRule="exact"/>
        <w:ind w:firstLine="640"/>
        <w:jc w:val="both"/>
        <w:rPr>
          <w:lang w:eastAsia="zh-CN"/>
        </w:rPr>
      </w:pPr>
      <w:r>
        <w:rPr>
          <w:rFonts w:ascii="仿宋_GB2312" w:hAnsi="仿宋_GB2312" w:eastAsia="仿宋_GB2312"/>
          <w:sz w:val="32"/>
          <w:lang w:eastAsia="zh-CN"/>
        </w:rPr>
        <w:t>张军在报告中表示，</w:t>
      </w:r>
      <w:r>
        <w:rPr>
          <w:rFonts w:ascii="Times New Roman" w:hAnsi="Times New Roman" w:eastAsia="仿宋_GB2312"/>
          <w:sz w:val="32"/>
          <w:lang w:eastAsia="zh-CN"/>
        </w:rPr>
        <w:t>2026</w:t>
      </w:r>
      <w:r>
        <w:rPr>
          <w:rFonts w:ascii="仿宋_GB2312" w:hAnsi="仿宋_GB2312" w:eastAsia="仿宋_GB2312"/>
          <w:sz w:val="32"/>
          <w:lang w:eastAsia="zh-CN"/>
        </w:rPr>
        <w:t>年，人民法院要坚持以习近平新时代中国特色社会主义思想为指导，深入贯彻习近平法治思想，坚持党中央集中统一领导，坚定法治自信，更加注重法治与改革、发展、稳定相协同，更加注重保障和促进社会公平正义，加强新时代审判工作，为实现“十五五”良好开局提供有力司法服务和保障。忠诚履职，做深做实为大局服务、为人民司法；守正创新，健全公正司法体制机制；严管厚爱，锻造堪当重任的新时代法院铁军，凝心聚力，实干担当，为建设更高水平的社会主义法治国家作出新的更大贡献。</w:t>
      </w:r>
    </w:p>
    <w:p w14:paraId="16C5358C">
      <w:pPr>
        <w:spacing w:after="0" w:line="560" w:lineRule="exact"/>
        <w:ind w:firstLine="640"/>
        <w:jc w:val="both"/>
        <w:rPr>
          <w:lang w:eastAsia="zh-CN"/>
        </w:rPr>
      </w:pPr>
      <w:r>
        <w:rPr>
          <w:rFonts w:ascii="仿宋_GB2312" w:hAnsi="仿宋_GB2312" w:eastAsia="仿宋_GB2312"/>
          <w:sz w:val="32"/>
          <w:lang w:eastAsia="zh-CN"/>
        </w:rPr>
        <w:t>最高人民检察院检察长应勇在最高人民检察院工作报告中指出，</w:t>
      </w:r>
      <w:r>
        <w:rPr>
          <w:rFonts w:ascii="Times New Roman" w:hAnsi="Times New Roman" w:eastAsia="仿宋_GB2312"/>
          <w:sz w:val="32"/>
          <w:lang w:eastAsia="zh-CN"/>
        </w:rPr>
        <w:t>2025</w:t>
      </w:r>
      <w:r>
        <w:rPr>
          <w:rFonts w:ascii="仿宋_GB2312" w:hAnsi="仿宋_GB2312" w:eastAsia="仿宋_GB2312"/>
          <w:sz w:val="32"/>
          <w:lang w:eastAsia="zh-CN"/>
        </w:rPr>
        <w:t>年，在以习近平同志为核心的党中央坚强领导下，最高人民检察院积极融入进一步全面深化改革、推进中国式现代化进程，坚持为大局服务、为人民司法、为法治担当，强化检察监督，高质效办好每一个案件，持续推进习近平法治思想的检察实践，各项检察工作取得新成效。全国检察机关共办理各类案件</w:t>
      </w:r>
      <w:r>
        <w:rPr>
          <w:rFonts w:ascii="Times New Roman" w:hAnsi="Times New Roman" w:eastAsia="仿宋_GB2312"/>
          <w:sz w:val="32"/>
          <w:lang w:eastAsia="zh-CN"/>
        </w:rPr>
        <w:t>346</w:t>
      </w:r>
      <w:r>
        <w:rPr>
          <w:rFonts w:ascii="仿宋_GB2312" w:hAnsi="仿宋_GB2312" w:eastAsia="仿宋_GB2312"/>
          <w:sz w:val="32"/>
          <w:lang w:eastAsia="zh-CN"/>
        </w:rPr>
        <w:t>.</w:t>
      </w:r>
      <w:r>
        <w:rPr>
          <w:rFonts w:ascii="Times New Roman" w:hAnsi="Times New Roman" w:eastAsia="仿宋_GB2312"/>
          <w:sz w:val="32"/>
          <w:lang w:eastAsia="zh-CN"/>
        </w:rPr>
        <w:t>7</w:t>
      </w:r>
      <w:r>
        <w:rPr>
          <w:rFonts w:ascii="仿宋_GB2312" w:hAnsi="仿宋_GB2312" w:eastAsia="仿宋_GB2312"/>
          <w:sz w:val="32"/>
          <w:lang w:eastAsia="zh-CN"/>
        </w:rPr>
        <w:t>万件，其中最高人民检察院办理</w:t>
      </w:r>
      <w:r>
        <w:rPr>
          <w:rFonts w:ascii="Times New Roman" w:hAnsi="Times New Roman" w:eastAsia="仿宋_GB2312"/>
          <w:sz w:val="32"/>
          <w:lang w:eastAsia="zh-CN"/>
        </w:rPr>
        <w:t>8151</w:t>
      </w:r>
      <w:r>
        <w:rPr>
          <w:rFonts w:ascii="仿宋_GB2312" w:hAnsi="仿宋_GB2312" w:eastAsia="仿宋_GB2312"/>
          <w:sz w:val="32"/>
          <w:lang w:eastAsia="zh-CN"/>
        </w:rPr>
        <w:t>件。</w:t>
      </w:r>
    </w:p>
    <w:p w14:paraId="26A404B1">
      <w:pPr>
        <w:spacing w:after="0" w:line="560" w:lineRule="exact"/>
        <w:ind w:firstLine="640"/>
        <w:jc w:val="both"/>
        <w:rPr>
          <w:lang w:eastAsia="zh-CN"/>
        </w:rPr>
      </w:pPr>
      <w:r>
        <w:rPr>
          <w:rFonts w:ascii="仿宋_GB2312" w:hAnsi="仿宋_GB2312" w:eastAsia="仿宋_GB2312"/>
          <w:sz w:val="32"/>
          <w:lang w:eastAsia="zh-CN"/>
        </w:rPr>
        <w:t>应勇回顾了</w:t>
      </w:r>
      <w:r>
        <w:rPr>
          <w:rFonts w:ascii="Times New Roman" w:hAnsi="Times New Roman" w:eastAsia="仿宋_GB2312"/>
          <w:sz w:val="32"/>
          <w:lang w:eastAsia="zh-CN"/>
        </w:rPr>
        <w:t>2025</w:t>
      </w:r>
      <w:r>
        <w:rPr>
          <w:rFonts w:ascii="仿宋_GB2312" w:hAnsi="仿宋_GB2312" w:eastAsia="仿宋_GB2312"/>
          <w:sz w:val="32"/>
          <w:lang w:eastAsia="zh-CN"/>
        </w:rPr>
        <w:t>年工作：贯彻总体国家安全观，推进更高水平平安中国建设；完整准确全面贯彻新发展理念，服务高质量发展；坚持民生为大，依法维护人民权益；强化检察监督，促进公平正义；强化接受监督意识，确保检察权始终在法治轨道上运行；以党的政治建设为统领，切实加强过硬检察队伍建设。</w:t>
      </w:r>
    </w:p>
    <w:p w14:paraId="7D54C30E">
      <w:pPr>
        <w:spacing w:after="0" w:line="560" w:lineRule="exact"/>
        <w:ind w:firstLine="640"/>
        <w:jc w:val="both"/>
        <w:rPr>
          <w:lang w:eastAsia="zh-CN"/>
        </w:rPr>
      </w:pPr>
      <w:r>
        <w:rPr>
          <w:rFonts w:ascii="仿宋_GB2312" w:hAnsi="仿宋_GB2312" w:eastAsia="仿宋_GB2312"/>
          <w:sz w:val="32"/>
          <w:lang w:eastAsia="zh-CN"/>
        </w:rPr>
        <w:t>应勇在报告中指出，</w:t>
      </w:r>
      <w:r>
        <w:rPr>
          <w:rFonts w:ascii="Times New Roman" w:hAnsi="Times New Roman" w:eastAsia="仿宋_GB2312"/>
          <w:sz w:val="32"/>
          <w:lang w:eastAsia="zh-CN"/>
        </w:rPr>
        <w:t>2026</w:t>
      </w:r>
      <w:r>
        <w:rPr>
          <w:rFonts w:ascii="仿宋_GB2312" w:hAnsi="仿宋_GB2312" w:eastAsia="仿宋_GB2312"/>
          <w:sz w:val="32"/>
          <w:lang w:eastAsia="zh-CN"/>
        </w:rPr>
        <w:t>年，全国检察机关要坚持以习近平新时代中国特色社会主义思想为指导，深入学习贯彻习近平法治思想，更加注重法治与改革、发展、稳定相协同，更加注重保障和促进社会公平正义，履行好国家法律监督机关职责。始终坚持党对检察工作的绝对领导，更好服务高质量发展和高水平安全，深化做实检察为民，强化检察监督，加强公益诉讼，持续加强检察队伍建设。</w:t>
      </w:r>
    </w:p>
    <w:p w14:paraId="37CBD83D">
      <w:pPr>
        <w:spacing w:after="0" w:line="560" w:lineRule="exact"/>
        <w:ind w:firstLine="640"/>
        <w:jc w:val="both"/>
        <w:rPr>
          <w:lang w:eastAsia="zh-CN"/>
        </w:rPr>
      </w:pPr>
      <w:r>
        <w:rPr>
          <w:rFonts w:ascii="仿宋_GB2312" w:hAnsi="仿宋_GB2312" w:eastAsia="仿宋_GB2312"/>
          <w:sz w:val="32"/>
          <w:lang w:eastAsia="zh-CN"/>
        </w:rPr>
        <w:t>会议还审议了全国人民代表大会常务委员会关于法律清理工作情况和有关法律和决定处理意见的报告。</w:t>
      </w:r>
    </w:p>
    <w:p w14:paraId="22336238">
      <w:pPr>
        <w:spacing w:after="0" w:line="560" w:lineRule="exact"/>
        <w:ind w:firstLine="640"/>
        <w:jc w:val="both"/>
        <w:rPr>
          <w:lang w:eastAsia="zh-CN"/>
        </w:rPr>
      </w:pPr>
      <w:r>
        <w:rPr>
          <w:rFonts w:ascii="仿宋_GB2312" w:hAnsi="仿宋_GB2312" w:eastAsia="仿宋_GB2312"/>
          <w:sz w:val="32"/>
          <w:lang w:eastAsia="zh-CN"/>
        </w:rPr>
        <w:t>会议应出席代表</w:t>
      </w:r>
      <w:r>
        <w:rPr>
          <w:rFonts w:ascii="Times New Roman" w:hAnsi="Times New Roman" w:eastAsia="仿宋_GB2312"/>
          <w:sz w:val="32"/>
          <w:lang w:eastAsia="zh-CN"/>
        </w:rPr>
        <w:t>2878</w:t>
      </w:r>
      <w:r>
        <w:rPr>
          <w:rFonts w:ascii="仿宋_GB2312" w:hAnsi="仿宋_GB2312" w:eastAsia="仿宋_GB2312"/>
          <w:sz w:val="32"/>
          <w:lang w:eastAsia="zh-CN"/>
        </w:rPr>
        <w:t>人，出席</w:t>
      </w:r>
      <w:r>
        <w:rPr>
          <w:rFonts w:ascii="Times New Roman" w:hAnsi="Times New Roman" w:eastAsia="仿宋_GB2312"/>
          <w:sz w:val="32"/>
          <w:lang w:eastAsia="zh-CN"/>
        </w:rPr>
        <w:t>2760</w:t>
      </w:r>
      <w:r>
        <w:rPr>
          <w:rFonts w:ascii="仿宋_GB2312" w:hAnsi="仿宋_GB2312" w:eastAsia="仿宋_GB2312"/>
          <w:sz w:val="32"/>
          <w:lang w:eastAsia="zh-CN"/>
        </w:rPr>
        <w:t>人，缺席</w:t>
      </w:r>
      <w:r>
        <w:rPr>
          <w:rFonts w:ascii="Times New Roman" w:hAnsi="Times New Roman" w:eastAsia="仿宋_GB2312"/>
          <w:sz w:val="32"/>
          <w:lang w:eastAsia="zh-CN"/>
        </w:rPr>
        <w:t>118</w:t>
      </w:r>
      <w:r>
        <w:rPr>
          <w:rFonts w:ascii="仿宋_GB2312" w:hAnsi="仿宋_GB2312" w:eastAsia="仿宋_GB2312"/>
          <w:sz w:val="32"/>
          <w:lang w:eastAsia="zh-CN"/>
        </w:rPr>
        <w:t>人，出席人数符合法定人数。</w:t>
      </w:r>
    </w:p>
    <w:p w14:paraId="284BD1D1">
      <w:pPr>
        <w:spacing w:after="0" w:line="560" w:lineRule="exact"/>
        <w:ind w:firstLine="640"/>
        <w:jc w:val="both"/>
        <w:rPr>
          <w:lang w:eastAsia="zh-CN"/>
        </w:rPr>
      </w:pPr>
      <w:r>
        <w:rPr>
          <w:rFonts w:ascii="仿宋_GB2312" w:hAnsi="仿宋_GB2312" w:eastAsia="仿宋_GB2312"/>
          <w:sz w:val="32"/>
          <w:lang w:eastAsia="zh-CN"/>
        </w:rPr>
        <w:t>会议由大会主席团常务主席、执行主席李鸿忠主持。</w:t>
      </w:r>
    </w:p>
    <w:p w14:paraId="7FBCFFBC">
      <w:pPr>
        <w:spacing w:after="0" w:line="560" w:lineRule="exact"/>
        <w:ind w:firstLine="640"/>
        <w:jc w:val="both"/>
        <w:rPr>
          <w:lang w:eastAsia="zh-CN"/>
        </w:rPr>
      </w:pPr>
      <w:r>
        <w:rPr>
          <w:rFonts w:ascii="仿宋_GB2312" w:hAnsi="仿宋_GB2312" w:eastAsia="仿宋_GB2312"/>
          <w:sz w:val="32"/>
          <w:lang w:eastAsia="zh-CN"/>
        </w:rPr>
        <w:t>大会执行主席于伟国、王宁、王伟中、王忠林、王晓晖、王浩、巴音朝鲁、冯飞、刘艺良、杜家毫、李秀领、杨晓超、吴晓军、张升民、陈小江、林武、周祖翼、赵一德、倪岳峰、黄莉新、黄强、黄楚平、雒树刚在主席台执行主席席就座。</w:t>
      </w:r>
    </w:p>
    <w:sectPr>
      <w:footerReference r:id="rId5" w:type="default"/>
      <w:pgSz w:w="12240" w:h="15840"/>
      <w:pgMar w:top="1440" w:right="1797" w:bottom="1440" w:left="179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1" w:fontKey="{77D7C225-C406-4416-B079-17EA41F5F7A2}"/>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方正小标宋简体">
    <w:panose1 w:val="02010600010101010101"/>
    <w:charset w:val="86"/>
    <w:family w:val="auto"/>
    <w:pitch w:val="default"/>
    <w:sig w:usb0="00000001" w:usb1="080E0000" w:usb2="00000000" w:usb3="00000000" w:csb0="00040000" w:csb1="00000000"/>
    <w:embedRegular r:id="rId2" w:fontKey="{FA9E18C4-0162-4A0C-BB6A-E2DBEC4C88A8}"/>
  </w:font>
  <w:font w:name="仿宋_GB2312">
    <w:altName w:val="仿宋"/>
    <w:panose1 w:val="02010609030101010101"/>
    <w:charset w:val="86"/>
    <w:family w:val="modern"/>
    <w:pitch w:val="default"/>
    <w:sig w:usb0="00000000" w:usb1="00000000" w:usb2="00000010" w:usb3="00000000" w:csb0="00040000" w:csb1="00000000"/>
    <w:embedRegular r:id="rId3" w:fontKey="{C900D31E-17FE-4C69-8422-6FEB4D674933}"/>
  </w:font>
  <w:font w:name="ＭＳ 明朝">
    <w:altName w:val="Segoe Print"/>
    <w:panose1 w:val="00000000000000000000"/>
    <w:charset w:val="00"/>
    <w:family w:val="auto"/>
    <w:pitch w:val="default"/>
    <w:sig w:usb0="00000000" w:usb1="00000000" w:usb2="00000000" w:usb3="00000000" w:csb0="00000000" w:csb1="00000000"/>
    <w:embedRegular r:id="rId4" w:fontKey="{6D10F14C-5060-4F2E-86A0-0CA177BFAE1C}"/>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65F2C">
    <w:pPr>
      <w:pStyle w:val="24"/>
      <w:jc w:val="center"/>
    </w:pPr>
    <w:r>
      <w:rPr>
        <w:rFonts w:ascii="宋体" w:hAnsi="宋体" w:eastAsia="宋体"/>
        <w:sz w:val="28"/>
      </w:rPr>
      <w:fldChar w:fldCharType="begin"/>
    </w:r>
    <w:r>
      <w:rPr>
        <w:rFonts w:ascii="宋体" w:hAnsi="宋体" w:eastAsia="宋体"/>
        <w:sz w:val="28"/>
      </w:rPr>
      <w:instrText xml:space="preserve">PAGE</w:instrText>
    </w:r>
    <w:r>
      <w:rPr>
        <w:rFonts w:hint="eastAsia" w:ascii="宋体" w:hAnsi="宋体" w:eastAsia="宋体"/>
        <w:sz w:val="28"/>
      </w:rPr>
      <w:fldChar w:fldCharType="separate"/>
    </w:r>
    <w:r>
      <w:rPr>
        <w:rFonts w:hint="eastAsia" w:ascii="宋体" w:hAnsi="宋体" w:eastAsia="宋体"/>
        <w:sz w:val="28"/>
      </w:rPr>
      <w:t>1</w:t>
    </w:r>
    <w:r>
      <w:rPr>
        <w:rFonts w:ascii="宋体" w:hAnsi="宋体" w:eastAsia="宋体"/>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150DE"/>
    <w:rsid w:val="0015074B"/>
    <w:rsid w:val="0029639D"/>
    <w:rsid w:val="00326F90"/>
    <w:rsid w:val="006C4394"/>
    <w:rsid w:val="00AA1D8D"/>
    <w:rsid w:val="00B47730"/>
    <w:rsid w:val="00CB0664"/>
    <w:rsid w:val="00E67E0E"/>
    <w:rsid w:val="00EC1627"/>
    <w:rsid w:val="00FC693F"/>
    <w:rsid w:val="0D766B2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qFormat="1"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qFormat="1"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qFormat="1"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qFormat="1"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页眉 字符"/>
    <w:basedOn w:val="132"/>
    <w:link w:val="25"/>
    <w:uiPriority w:val="99"/>
  </w:style>
  <w:style w:type="character" w:customStyle="1" w:styleId="136">
    <w:name w:val="页脚 字符"/>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标题 1 字符"/>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标题 2 字符"/>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标题 3 字符"/>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标题 字符"/>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副标题 字符"/>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正文文本 字符"/>
    <w:basedOn w:val="132"/>
    <w:link w:val="19"/>
    <w:qFormat/>
    <w:uiPriority w:val="99"/>
  </w:style>
  <w:style w:type="character" w:customStyle="1" w:styleId="145">
    <w:name w:val="正文文本 2 字符"/>
    <w:basedOn w:val="132"/>
    <w:link w:val="28"/>
    <w:qFormat/>
    <w:uiPriority w:val="99"/>
  </w:style>
  <w:style w:type="character" w:customStyle="1" w:styleId="146">
    <w:name w:val="正文文本 3 字符"/>
    <w:basedOn w:val="132"/>
    <w:link w:val="17"/>
    <w:uiPriority w:val="99"/>
    <w:rPr>
      <w:sz w:val="16"/>
      <w:szCs w:val="16"/>
    </w:rPr>
  </w:style>
  <w:style w:type="character" w:customStyle="1" w:styleId="147">
    <w:name w:val="宏文本 字符"/>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引用 字符"/>
    <w:basedOn w:val="132"/>
    <w:link w:val="148"/>
    <w:uiPriority w:val="29"/>
    <w:rPr>
      <w:i/>
      <w:iCs/>
      <w:color w:val="000000" w:themeColor="text1"/>
      <w14:textFill>
        <w14:solidFill>
          <w14:schemeClr w14:val="tx1"/>
        </w14:solidFill>
      </w14:textFill>
    </w:rPr>
  </w:style>
  <w:style w:type="character" w:customStyle="1" w:styleId="150">
    <w:name w:val="标题 4 字符"/>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标题 5 字符"/>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标题 6 字符"/>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标题 7 字符"/>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标题 8 字符"/>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标题 9 字符"/>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明显引用 字符"/>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2557</Words>
  <Characters>2640</Characters>
  <Lines>18</Lines>
  <Paragraphs>5</Paragraphs>
  <TotalTime>0</TotalTime>
  <ScaleCrop>false</ScaleCrop>
  <LinksUpToDate>false</LinksUpToDate>
  <CharactersWithSpaces>2643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伯安</cp:lastModifiedBy>
  <dcterms:modified xsi:type="dcterms:W3CDTF">2026-03-31T16:06:19Z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eyJoZGlkIjoiMGY3NjMzM2JiYjc3N2ZjNTc5MTczYzI1MDVlN2RlMDciLCJ1c2VySWQiOiI2MzkzODgxMTgifQ==</vt:lpwstr>
  </property>
  <property fmtid="{D5CDD505-2E9C-101B-9397-08002B2CF9AE}" pid="3" name="KSOProductBuildVer">
    <vt:lpwstr>2052-12.1.0.25225</vt:lpwstr>
  </property>
  <property fmtid="{D5CDD505-2E9C-101B-9397-08002B2CF9AE}" pid="4" name="ICV">
    <vt:lpwstr>545A8EBF45EC47409BDFDB2E352C5E10_12</vt:lpwstr>
  </property>
</Properties>
</file>